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最新吊车包月租赁合同电子版 吊车包月租赁合同法律5篇(优秀)</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吊车包月租赁合同电子版 吊车包月租赁合同法律一出租方(乙方)：惠州大亚湾强龙实业有限公司承租方根据 中海油1200万吨炼油 工程的需要，拟承租出租方的35t履带式起重机给承租方使用，经双方友好协商订立如下条款，双方共同遵守.一、 租赁设备名...</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 法定代表人 或法定委托代理人(盖章)： 经办人： (签字) 联系电话：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 设备租赁 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 意见 ，乙方应已不影响甲方现场施工进度为主，合理安排 修理 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 法律 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 汽车 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 措施 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 规章制度 。</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 民法 院解决。</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