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最新民间借款抵押合同几份 民间借贷房产抵押合同(十四篇)</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民间借款抵押合同几份 民间借贷房产抵押合同一第一条：1、借款用途：2、借款金额：大写：3、借款期限：自日起至年月4、还款方式：第二条：借款人承诺“1、按期一定用现金还清债权人借款。2、按合同规定用途使用借款，不得擅自改变借款用途。3、借款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民间借款抵押合同几份 民间借贷房产抵押合同篇十一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