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对于影响营商环境问题整改台账清单总结</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对于影响营商环境问题整改台账清单总结一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w:t>
      </w:r>
    </w:p>
    <w:p>
      <w:pPr>
        <w:ind w:left="0" w:right="0" w:firstLine="560"/>
        <w:spacing w:before="450" w:after="450" w:line="312" w:lineRule="auto"/>
      </w:pPr>
      <w:r>
        <w:rPr>
          <w:rFonts w:ascii="黑体" w:hAnsi="黑体" w:eastAsia="黑体" w:cs="黑体"/>
          <w:color w:val="000000"/>
          <w:sz w:val="36"/>
          <w:szCs w:val="36"/>
          <w:b w:val="1"/>
          <w:bCs w:val="1"/>
        </w:rPr>
        <w:t xml:space="preserve">对于影响营商环境问题整改台账清单总结一</w:t>
      </w:r>
    </w:p>
    <w:p>
      <w:pPr>
        <w:ind w:left="0" w:right="0" w:firstLine="560"/>
        <w:spacing w:before="450" w:after="450" w:line="312" w:lineRule="auto"/>
      </w:pPr>
      <w:r>
        <w:rPr>
          <w:rFonts w:ascii="宋体" w:hAnsi="宋体" w:eastAsia="宋体" w:cs="宋体"/>
          <w:color w:val="000"/>
          <w:sz w:val="28"/>
          <w:szCs w:val="28"/>
        </w:rPr>
        <w:t xml:space="preserve">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2000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2025-06-09T14:44:56+08:00</dcterms:created>
  <dcterms:modified xsi:type="dcterms:W3CDTF">2025-06-09T14:44:56+08:00</dcterms:modified>
</cp:coreProperties>
</file>

<file path=docProps/custom.xml><?xml version="1.0" encoding="utf-8"?>
<Properties xmlns="http://schemas.openxmlformats.org/officeDocument/2006/custom-properties" xmlns:vt="http://schemas.openxmlformats.org/officeDocument/2006/docPropsVTypes"/>
</file>