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推荐奋进新征程建工新时代总结(4篇)</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奋进新征程建工新时代总结一为加强孩子们的安全意识，保证孩子们的假期安全，实践团特意安排了“关爱留守儿童，安全知识讲座”。讲座上，施翔宇首先从步行、骑车、乘车、横穿马路、过斑马线等基本交通安全常识入手，结合典型交通事故案例，指导孩子们如何...</w:t>
      </w:r>
    </w:p>
    <w:p>
      <w:pPr>
        <w:ind w:left="0" w:right="0" w:firstLine="560"/>
        <w:spacing w:before="450" w:after="450" w:line="312" w:lineRule="auto"/>
      </w:pPr>
      <w:r>
        <w:rPr>
          <w:rFonts w:ascii="黑体" w:hAnsi="黑体" w:eastAsia="黑体" w:cs="黑体"/>
          <w:color w:val="000000"/>
          <w:sz w:val="36"/>
          <w:szCs w:val="36"/>
          <w:b w:val="1"/>
          <w:bCs w:val="1"/>
        </w:rPr>
        <w:t xml:space="preserve">推荐奋进新征程建工新时代总结一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推荐奋进新征程建工新时代总结二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推荐奋进新征程建工新时代总结三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推荐奋进新征程建工新时代总结四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2030”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