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2025研究生学业奖学金申请总结(2篇)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研究生学业奖学金申请总结一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w:t>
      </w:r>
    </w:p>
    <w:p>
      <w:pPr>
        <w:ind w:left="0" w:right="0" w:firstLine="560"/>
        <w:spacing w:before="450" w:after="450" w:line="312" w:lineRule="auto"/>
      </w:pPr>
      <w:r>
        <w:rPr>
          <w:rFonts w:ascii="黑体" w:hAnsi="黑体" w:eastAsia="黑体" w:cs="黑体"/>
          <w:color w:val="000000"/>
          <w:sz w:val="36"/>
          <w:szCs w:val="36"/>
          <w:b w:val="1"/>
          <w:bCs w:val="1"/>
        </w:rPr>
        <w:t xml:space="preserve">20_研究生学业奖学金申请总结一</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20_研究生学业奖学金申请总结二</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2025-04-28T07:35:51+08:00</dcterms:created>
  <dcterms:modified xsi:type="dcterms:W3CDTF">2025-04-28T07:35:51+08:00</dcterms:modified>
</cp:coreProperties>
</file>

<file path=docProps/custom.xml><?xml version="1.0" encoding="utf-8"?>
<Properties xmlns="http://schemas.openxmlformats.org/officeDocument/2006/custom-properties" xmlns:vt="http://schemas.openxmlformats.org/officeDocument/2006/docPropsVTypes"/>
</file>