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2023年上半年基层党建工作情况总结参考【3篇】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党的基层组织是党在社会基层组织中的战斗堡垒，是党的一切工作和战斗力的基础。 以下是为大家整理的关于2023年上半年基层党建工作情况总结参考的文章3篇 ,欢迎品鉴！第一篇: 2023年上半年基层党建工作情况总结参考　　　今年以来，按照“整体推...</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党的基层组织是党在社会基层组织中的战斗堡垒，是党的一切工作和战斗力的基础。 以下是为大家整理的关于2023年上半年基层党建工作情况总结参考的文章3篇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2023年上半年基层党建工作情况总结参考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6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2023年上半年基层党建工作情况总结参考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第三篇: 2023年上半年基层党建工作情况总结参考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XX工委：</w:t>
      </w:r>
    </w:p>
    <w:p>
      <w:pPr>
        <w:ind w:left="0" w:right="0" w:firstLine="560"/>
        <w:spacing w:before="450" w:after="450" w:line="312" w:lineRule="auto"/>
      </w:pPr>
      <w:r>
        <w:rPr>
          <w:rFonts w:ascii="宋体" w:hAnsi="宋体" w:eastAsia="宋体" w:cs="宋体"/>
          <w:color w:val="000"/>
          <w:sz w:val="28"/>
          <w:szCs w:val="28"/>
        </w:rPr>
        <w:t xml:space="preserve">　　2023年，XX党建工作以党的十九大精神为指导，围绕XX工作目标，不断加强领导班子自身建设、党员队伍素质建设、文化建设和党风廉政建设，全面提升思想政治工作水平，全面推进单位稳定发展。现将2023年基层党建工作情况总结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2023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2025-05-25T02:37:33+08:00</dcterms:created>
  <dcterms:modified xsi:type="dcterms:W3CDTF">2025-05-25T02:37:33+08:00</dcterms:modified>
</cp:coreProperties>
</file>

<file path=docProps/custom.xml><?xml version="1.0" encoding="utf-8"?>
<Properties xmlns="http://schemas.openxmlformats.org/officeDocument/2006/custom-properties" xmlns:vt="http://schemas.openxmlformats.org/officeDocument/2006/docPropsVTypes"/>
</file>