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儒林外史读书心得(优秀8篇)</w:t>
      </w:r>
      <w:bookmarkEnd w:id="1"/>
    </w:p>
    <w:p>
      <w:pPr>
        <w:jc w:val="center"/>
        <w:spacing w:before="0" w:after="450"/>
      </w:pPr>
      <w:r>
        <w:rPr>
          <w:rFonts w:ascii="Arial" w:hAnsi="Arial" w:eastAsia="Arial" w:cs="Arial"/>
          <w:color w:val="999999"/>
          <w:sz w:val="20"/>
          <w:szCs w:val="20"/>
        </w:rPr>
        <w:t xml:space="preserve">来源：网络  作者：雨声轻语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儒林外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儒林外史》是我国一部闻名的长典挖苦小说之一，它通过活泼的艺术形象，反映了封建社会末期腐败黑暗的\'社会现实，批判了八股科举制度，揭露了反动统治的罪恶与虚伪.但让我最感动的是其中《王冕的故事》。</w:t>
      </w:r>
    </w:p>
    <w:p>
      <w:pPr>
        <w:ind w:left="0" w:right="0" w:firstLine="560"/>
        <w:spacing w:before="450" w:after="450" w:line="312" w:lineRule="auto"/>
      </w:pPr>
      <w:r>
        <w:rPr>
          <w:rFonts w:ascii="宋体" w:hAnsi="宋体" w:eastAsia="宋体" w:cs="宋体"/>
          <w:color w:val="000"/>
          <w:sz w:val="28"/>
          <w:szCs w:val="28"/>
        </w:rPr>
        <w:t xml:space="preserve">元朝末年，有一个叫王冕的人，家住诸暨县的乡村里.在他七岁的时分父亲就去世了.她母亲靠给别人做针线活来供他到村里的学堂读书.一转瞬三年过去了，一天母亲叫王冕不要读书了，由于母亲没有钱给王冕连续读书了，所以让他到秦老家放牛.王冕容许了.王冕第二天早晨放牛时看见，下过雨后的天气，景观非常漂亮，就想把它画下来.王冕于是拿着秦老给他的工钱，去买颜料，他画画非常仔细，一画就画了三个月，等到十七岁时，他成了闻名的画家!</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2025-01-16T10:45:28+08:00</dcterms:created>
  <dcterms:modified xsi:type="dcterms:W3CDTF">2025-01-16T10:45:28+08:00</dcterms:modified>
</cp:coreProperties>
</file>

<file path=docProps/custom.xml><?xml version="1.0" encoding="utf-8"?>
<Properties xmlns="http://schemas.openxmlformats.org/officeDocument/2006/custom-properties" xmlns:vt="http://schemas.openxmlformats.org/officeDocument/2006/docPropsVTypes"/>
</file>