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2003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2002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2003年，仅以开发圈名义圈占的土地就达到了3万多平方公里。早在2002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2003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2003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2005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2002年，我国关于房屋建材的投诉中，仅虚假广告一项就达888件。到2004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数据来源：根据《中国统计年鉴2004》、《中国广告年鉴2004》整理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2004年以来，政府出台了一系列宏观调控政策，改变了房地产业的就现有格局，行业门槛陡然增高。在此背景下，一方面，大型房地产 企业 纷纷开始寻求规模化 发展 的道路。如2005年3月3日，万科集团以总计18.58亿元人民币并购了南都地产。这样，万科不仅可以直接吸收南都的内部资源，还包括许多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10多年来，不管房地产业形势如何，房地产企业经营税金一直呈稳步增长趋势。2003年达到494亿元，比上年同期增长了33％，比1991年增长了23倍。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论文集[C].上海：上海人民出版社，2003.</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[3]夏大慰.竞争与规制.上海：上海财经大学出版社，2002.</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出版社，2004.</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出版社，2004.</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[8]文林峰.增加中低价位商品住宅供应量的政策建议[J].中国房地产，2005，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