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浅析环境税的立法策略和立法原则</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析环境税的立法策略和立法原则”是由论文网论文频道小编特别编辑整理的，相信对需要各式各样的论文朋友有一定的帮助!伴随着环境问题在全球的日趋凸现，以及席卷全球的财政改革潮流，环境税制度在国际、区域、国家等多个层面受到越来越多...</w:t>
      </w:r>
    </w:p>
    <w:p>
      <w:pPr>
        <w:ind w:left="0" w:right="0" w:firstLine="560"/>
        <w:spacing w:before="450" w:after="450" w:line="312" w:lineRule="auto"/>
      </w:pPr>
      <w:r>
        <w:rPr>
          <w:rFonts w:ascii="宋体" w:hAnsi="宋体" w:eastAsia="宋体" w:cs="宋体"/>
          <w:color w:val="000"/>
          <w:sz w:val="28"/>
          <w:szCs w:val="28"/>
        </w:rPr>
        <w:t xml:space="preserve">广大朋友们，关于“浅析环境税的立法策略和立法原则”是由论文网论文频道小编特别编辑整理的，相信对需要各式各样的论文朋友有一定的帮助!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2025-05-26T00:22:06+08:00</dcterms:created>
  <dcterms:modified xsi:type="dcterms:W3CDTF">2025-05-26T00:22:06+08:00</dcterms:modified>
</cp:coreProperties>
</file>

<file path=docProps/custom.xml><?xml version="1.0" encoding="utf-8"?>
<Properties xmlns="http://schemas.openxmlformats.org/officeDocument/2006/custom-properties" xmlns:vt="http://schemas.openxmlformats.org/officeDocument/2006/docPropsVTypes"/>
</file>