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对喀麦隆经济与商业环境风险进行分析</w:t>
      </w:r>
      <w:bookmarkEnd w:id="1"/>
    </w:p>
    <w:p>
      <w:pPr>
        <w:jc w:val="center"/>
        <w:spacing w:before="0" w:after="450"/>
      </w:pPr>
      <w:r>
        <w:rPr>
          <w:rFonts w:ascii="Arial" w:hAnsi="Arial" w:eastAsia="Arial" w:cs="Arial"/>
          <w:color w:val="999999"/>
          <w:sz w:val="20"/>
          <w:szCs w:val="20"/>
        </w:rPr>
        <w:t xml:space="preserve">来源：网络  作者：落花无言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喀麦隆是非洲经济发展较好的国家之一。经济总量仅次于南非和尼日利亚之后居第三位。作为国民经济的支柱产业，喀麦隆的农业和畜牧业较发达，素有中部非洲粮仓之称。石油在喀麦隆经济中占有举足轻重的地位，是主要出口创汇产品。 近年来，喀麦隆政府积极推动...</w:t>
      </w:r>
    </w:p>
    <w:p>
      <w:pPr>
        <w:ind w:left="0" w:right="0" w:firstLine="560"/>
        <w:spacing w:before="450" w:after="450" w:line="312" w:lineRule="auto"/>
      </w:pPr>
      <w:r>
        <w:rPr>
          <w:rFonts w:ascii="宋体" w:hAnsi="宋体" w:eastAsia="宋体" w:cs="宋体"/>
          <w:color w:val="000"/>
          <w:sz w:val="28"/>
          <w:szCs w:val="28"/>
        </w:rPr>
        <w:t xml:space="preserve">喀麦隆是非洲经济发展较好的国家之一。经济总量仅次于南非和尼日利亚之后居第三位。作为国民经济的支柱产业，喀麦隆的农业和畜牧业较发达，素有中部非洲粮仓之称。石油在喀麦隆经济中占有举足轻重的地位，是主要出口创汇产品。</w:t>
      </w:r>
    </w:p>
    <w:p>
      <w:pPr>
        <w:ind w:left="0" w:right="0" w:firstLine="560"/>
        <w:spacing w:before="450" w:after="450" w:line="312" w:lineRule="auto"/>
      </w:pPr>
      <w:r>
        <w:rPr>
          <w:rFonts w:ascii="宋体" w:hAnsi="宋体" w:eastAsia="宋体" w:cs="宋体"/>
          <w:color w:val="000"/>
          <w:sz w:val="28"/>
          <w:szCs w:val="28"/>
        </w:rPr>
        <w:t xml:space="preserve">近年来，喀麦隆政府积极推动宏观经济发展，其主要动力来自石油产量与基础设施领域公共投资的增长。2013年喀麦隆实现了经济较快增长，同时物价水平维持稳定。宏观经济经济增长维持稳定。石油是喀麦隆经济增长的动力和出口收入主要来源。2009年受国际金融危机影响，喀麦隆出口大幅下降，石油收入减少。随着2010年受益于国际油价的回升，喀麦隆经济开始复苏。2013年喀麦隆的经济实现了持续性增长，G D P增长率为4.8%，人均GDP达到1170美元。2013年，喀麦隆的通货膨胀率为2.8%，通货膨胀率保持在了自2010年起的合理水平，低于中部非洲经济与货币共同体(CEMAC)所规定的通货膨胀率不超过3%的目标。政府有效控制了生活必需品的价格，一定程度上平抑了通货膨胀。此外，喀麦隆政府将创造就业机会作为工作重点。2013年7月，喀麦隆官方公布，全国创造的工作岗位达22.5万个，全国平均失业率为14%，非正式行业吸纳了全国80%的就业人口。</w:t>
      </w:r>
    </w:p>
    <w:p>
      <w:pPr>
        <w:ind w:left="0" w:right="0" w:firstLine="560"/>
        <w:spacing w:before="450" w:after="450" w:line="312" w:lineRule="auto"/>
      </w:pPr>
      <w:r>
        <w:rPr>
          <w:rFonts w:ascii="宋体" w:hAnsi="宋体" w:eastAsia="宋体" w:cs="宋体"/>
          <w:color w:val="000"/>
          <w:sz w:val="28"/>
          <w:szCs w:val="28"/>
        </w:rPr>
        <w:t xml:space="preserve">但是，在雅温德和杜阿拉两大城市，失业率仍高达25%~35%。金融体系货币政策持续保持宽松。喀麦隆作为中部非洲经济与货币共同体(CEMAC)成员国，其货币政策由中部非洲国家银行(BEAC)统一制定、管理。自2009年起，BEAC开始放宽货币政策，持续降低招标利率，以增加贷款，刺激经济增长。2013年7月，BEAC在喀麦隆的雅温德召开第二次常务会议，决定即日起将银行利率下调50个基点，银行招标利率由原来的4%降至3.5%，公共投资减少等因素影响，BEAC为保持经济增长而采取的相对宽松的货币政策预计还将在未来一段时间内持续下去。财政状况财政持续赤字，财政支出结构不合理。据喀麦隆财政部统计，喀麦隆在2014年第一季度完成各类财政收入6730亿中非金融合作法郎(简称：中非法郎)，财政支出共计6320亿中非法郎，实现了财政收支的基本平衡。</w:t>
      </w:r>
    </w:p>
    <w:p>
      <w:pPr>
        <w:ind w:left="0" w:right="0" w:firstLine="560"/>
        <w:spacing w:before="450" w:after="450" w:line="312" w:lineRule="auto"/>
      </w:pPr>
      <w:r>
        <w:rPr>
          <w:rFonts w:ascii="宋体" w:hAnsi="宋体" w:eastAsia="宋体" w:cs="宋体"/>
          <w:color w:val="000"/>
          <w:sz w:val="28"/>
          <w:szCs w:val="28"/>
        </w:rPr>
        <w:t xml:space="preserve">然而，自2010年以来，由于政府加大公共基础设施的投入，加之主要创汇产品石油产量的下降，从而导致政府财政收支由过去的连续盈余转变为近几年来的持续赤字。目前，喀麦隆财政支出结构存在不合理，特别是喀麦隆政府对燃油补贴的增加加重了政府的财政负担。而如果喀麦隆政府取消燃油补贴或下降，将造成燃油价格上涨、产量下降。因此，预计喀麦隆政府短期内不会取消燃油补贴。未来几年，喀麦隆的财政赤字状况仍将维持。财政预算法案变革有望改善财政开支。2014年喀麦隆政府颁布新的财政预算法案，表示将采取若干改革措施，有效落实财政预算。特别在财政开支方面，喀麦隆政府要求财政预算各部门和单位都应正确发挥各自作用，强调财政支出预算的执行，同时加强行政跟踪和监督。该法案特别注重了财政预算与具体项目相结合，进一步强调财政预算的使用范围，确保预算资金落到实处，有望使喀麦隆财政收支更为合理。</w:t>
      </w:r>
    </w:p>
    <w:p>
      <w:pPr>
        <w:ind w:left="0" w:right="0" w:firstLine="560"/>
        <w:spacing w:before="450" w:after="450" w:line="312" w:lineRule="auto"/>
      </w:pPr>
      <w:r>
        <w:rPr>
          <w:rFonts w:ascii="宋体" w:hAnsi="宋体" w:eastAsia="宋体" w:cs="宋体"/>
          <w:color w:val="000"/>
          <w:sz w:val="28"/>
          <w:szCs w:val="28"/>
        </w:rPr>
        <w:t xml:space="preserve">国际收支喀麦隆是中非经济货币共同体成员国。作为成员国共同的中央银行，中部非洲国家银行负责制定货币政策，发行统一货币中非法郎。中非法郎与欧元保持固定汇率，汇率为655.9中非法郎兑1欧元。中非法郎同其它货币的汇率参照巴黎外汇市场上的有关汇率套算决定，与欧元汇率走势密切相关。经常账户逆差呈扩大趋势。喀麦隆长期处于贸易逆差状况。喀麦隆主要依赖初级产品出口创汇。虽然近年来石油产量伴随新油田的开采投入呈现上升态势，但国际油价的经常性波动却直接影响了喀麦隆的石油出口收入。喀麦隆政府为拉动经济增长，不断加大基础设施的建设力度，增加公共投资，从而导致一定程度上的商品进口增加。2013年喀麦隆经常账户赤字10.231亿美元，占GDP比重为4.4%。国际储备水平保持平稳，呈现增长态势。</w:t>
      </w:r>
    </w:p>
    <w:p>
      <w:pPr>
        <w:ind w:left="0" w:right="0" w:firstLine="560"/>
        <w:spacing w:before="450" w:after="450" w:line="312" w:lineRule="auto"/>
      </w:pPr>
      <w:r>
        <w:rPr>
          <w:rFonts w:ascii="宋体" w:hAnsi="宋体" w:eastAsia="宋体" w:cs="宋体"/>
          <w:color w:val="000"/>
          <w:sz w:val="28"/>
          <w:szCs w:val="28"/>
        </w:rPr>
        <w:t xml:space="preserve">2010年以来，随着包括国际原油在内的初级产品价格走高，喀麦隆依赖初级产品出口的创汇收入明显增加。同时，世界银行、国际货币基金组织以及法国、德国和其它欧盟国家也不断加强、改善与喀麦隆的合作关系，帮助减免大幅外债，提供各类援助和贷款。2010~2013年，喀麦隆的国际储备相对增长，同时，保持了稳定。预计短期内喀麦隆的对外支付保障能力还将继续保持稳定、增长态势。主权债务主权信用评级变化稳定，展望稳定。2014年标普和惠誉对喀麦隆主权信用评级均为B，评级展望稳定。喀麦隆的外债总额延续增势，短期偿债压力较低。近年来，喀麦隆为重大基础设施建设，解决能源供应短缺等问题，不断举借外债用于改善投资环境，发展经济。</w:t>
      </w:r>
    </w:p>
    <w:p>
      <w:pPr>
        <w:ind w:left="0" w:right="0" w:firstLine="560"/>
        <w:spacing w:before="450" w:after="450" w:line="312" w:lineRule="auto"/>
      </w:pPr>
      <w:r>
        <w:rPr>
          <w:rFonts w:ascii="宋体" w:hAnsi="宋体" w:eastAsia="宋体" w:cs="宋体"/>
          <w:color w:val="000"/>
          <w:sz w:val="28"/>
          <w:szCs w:val="28"/>
        </w:rPr>
        <w:t xml:space="preserve">2013年喀麦隆外债总额突破40亿美元，约占其国内生产总值(GDP)的14.6%。2014年喀麦隆的外债总额预计将达到46.6亿美元，占预期GDP的16%左右。未来几年内，喀麦隆基础建设需求仍将持续增加，外债总额还将伴随债务总额的增加而呈现上升势头。长期偿债压力不断增大。2006年喀麦隆因重债穷国减债计划，一半以上外债获得免除。同时，喀麦隆还享有世界银行及其它国家各种形式的财政援助，预计喀麦隆未来几年内的短期偿付风险不会有太大变化。从长期偿债水平上分析，喀麦隆公共外债水平持续降低，公共外债占GDP之比逐年下滑，表明其长期偿债能力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2025-01-19T02:53:58+08:00</dcterms:created>
  <dcterms:modified xsi:type="dcterms:W3CDTF">2025-01-19T02:53:58+08:00</dcterms:modified>
</cp:coreProperties>
</file>

<file path=docProps/custom.xml><?xml version="1.0" encoding="utf-8"?>
<Properties xmlns="http://schemas.openxmlformats.org/officeDocument/2006/custom-properties" xmlns:vt="http://schemas.openxmlformats.org/officeDocument/2006/docPropsVTypes"/>
</file>