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新贸易保护主义现状分析及其对策探析</w:t>
      </w:r>
      <w:bookmarkEnd w:id="1"/>
    </w:p>
    <w:p>
      <w:pPr>
        <w:jc w:val="center"/>
        <w:spacing w:before="0" w:after="450"/>
      </w:pPr>
      <w:r>
        <w:rPr>
          <w:rFonts w:ascii="Arial" w:hAnsi="Arial" w:eastAsia="Arial" w:cs="Arial"/>
          <w:color w:val="999999"/>
          <w:sz w:val="20"/>
          <w:szCs w:val="20"/>
        </w:rPr>
        <w:t xml:space="preserve">来源：网络  作者：夜色微凉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编辑。 内容提要 贸易保护主义的基本立足点是 发展 本国生产力，促进本国 经济 的增长。在经济自由化和一体化仍是世界经济发展的主流的大前提下，贸易保护主义除了使用传统的关税作为保护的手段之外，还加强了对非关税壁垒的设置和使用，如苛刻的技术标...</w:t>
      </w:r>
    </w:p>
    <w:p>
      <w:pPr>
        <w:ind w:left="0" w:right="0" w:firstLine="560"/>
        <w:spacing w:before="450" w:after="450" w:line="312" w:lineRule="auto"/>
      </w:pPr>
      <w:r>
        <w:rPr>
          <w:rFonts w:ascii="宋体" w:hAnsi="宋体" w:eastAsia="宋体" w:cs="宋体"/>
          <w:color w:val="000"/>
          <w:sz w:val="28"/>
          <w:szCs w:val="28"/>
        </w:rPr>
        <w:t xml:space="preserve">编辑。 内容提要</w:t>
      </w:r>
    </w:p>
    <w:p>
      <w:pPr>
        <w:ind w:left="0" w:right="0" w:firstLine="560"/>
        <w:spacing w:before="450" w:after="450" w:line="312" w:lineRule="auto"/>
      </w:pPr>
      <w:r>
        <w:rPr>
          <w:rFonts w:ascii="宋体" w:hAnsi="宋体" w:eastAsia="宋体" w:cs="宋体"/>
          <w:color w:val="000"/>
          <w:sz w:val="28"/>
          <w:szCs w:val="28"/>
        </w:rPr>
        <w:t xml:space="preserve">贸易保护主义的基本立足点是 发展 本国生产力，促进本国 经济 的增长。在经济自由化和一体化仍是世界经济发展的主流的大前提下，贸易保护主义除了使用传统的关税作为保护的手段之外，还加强了对非关税壁垒的设置和使用，如苛刻的技术标准环境标准等，以达到限制进口的目的。在新的经济形势下，贸易保护与贸易自由化这对矛盾体将会以怎样的方式存在？ 中国 等发展中国家在加入世界贸易组织之后，应如何应对日益复杂多变的新贸易保护主义？基于对以上课题的关注，本文在对新贸易保护主义的理论和世界贸易组织规则研究的基础上，分析了新贸易保护主义的表现形式，并试图透过现象揭示保护的实质。然后，本文对新贸易保护主义的发展趋势进行了预测，最终得出“新贸易保护主义仍有较大的发展空间”这一结论。文章的最后部分，针对中国等发展中国家经济发展的实际，作者提出了几点具体的应对措施，建议中国等发展中国家，熟练掌握as Mun，1571-1641），他指出：“货币产生贸易，贸易增多货币。”晚期重商主义者主张国家应该允许货币输出到国外，购买本国生产所需的原材料或进行转口贸易，发展生产。但晚期的重商主义者仍然坚持买少卖多的原则。贸易差额论在认识上比货币差额论向前推进了一步，但不论是货币差额论，还是贸易差额论，都把货币和财富混为一谈，认为一国拥有的黄金和白银越多，就越富有。总之，财富就是金银，金银是财富的唯一形态，是衡量国家富裕程度的唯一尺度。</w:t>
      </w:r>
    </w:p>
    <w:p>
      <w:pPr>
        <w:ind w:left="0" w:right="0" w:firstLine="560"/>
        <w:spacing w:before="450" w:after="450" w:line="312" w:lineRule="auto"/>
      </w:pPr>
      <w:r>
        <w:rPr>
          <w:rFonts w:ascii="宋体" w:hAnsi="宋体" w:eastAsia="宋体" w:cs="宋体"/>
          <w:color w:val="000"/>
          <w:sz w:val="28"/>
          <w:szCs w:val="28"/>
        </w:rPr>
        <w:t xml:space="preserve">重商主义的理论和政策在当时促进了资本主义的原始积累，推动了资本主义生产方式的发展。但它把货币和财富混为一谈，而且只局限于流通领域，认为财富和利润都是流通过程中产生的，对外贸易是财富和价值增值的源泉。这反映了商业资产阶级的 历史 局限性。货币差额论将货币与商品绝对地对立起来，设法要把侥幸得到的货币保存在国内并把它贮藏起来，而且孤立地对待货币运动。贸易差额论才开始认识到货币运动与商品运动的内在联系。 2、“保护幼稚 工业 ”理论（19世纪40年代）</w:t>
      </w:r>
    </w:p>
    <w:p>
      <w:pPr>
        <w:ind w:left="0" w:right="0" w:firstLine="560"/>
        <w:spacing w:before="450" w:after="450" w:line="312" w:lineRule="auto"/>
      </w:pPr>
      <w:r>
        <w:rPr>
          <w:rFonts w:ascii="宋体" w:hAnsi="宋体" w:eastAsia="宋体" w:cs="宋体"/>
          <w:color w:val="000"/>
          <w:sz w:val="28"/>
          <w:szCs w:val="28"/>
        </w:rPr>
        <w:t xml:space="preserve">19世纪20-40年代，资本主义工业尚处于萌芽状态或正在成长时期，这些国家的资产阶级要求保护幼稚工业，特别是当时的德国。就是在这样的社会背景下，与自由贸易理论相对立的“保护幼稚工业”理论形成了。“保护幼稚工业”理论的代表人物是德国的弗里德里希·李斯特(F·List，1789-1846)。1841年出版的《 政治 经济 学的国民体系》一书中，他提出了保护贸易理论。弗里德里希·李斯特提出：各国经济 发展 必须经历五个阶段，即原始未开化时期、畜牧时期、农业时期、农工业时期、农工商业时期，不同时期应实行不同的对外贸易政策。他从德国当时所处的现状出发，认为德国正处于农工业时期。而想要过渡到农工商业时期，必须大力发展生产力，必须依靠国家实行高关税等保护贸易政策，进而建立强大的工商业基础。经过比较，他认为使用动力和大规模机器的制造工业的生产力远远大于农业，所以保护和发展工业生产力需要特别重视。而对于农业的保护，他认为，通过保护使工业发达以后，农业就会随之得到发展。</w:t>
      </w:r>
    </w:p>
    <w:p>
      <w:pPr>
        <w:ind w:left="0" w:right="0" w:firstLine="560"/>
        <w:spacing w:before="450" w:after="450" w:line="312" w:lineRule="auto"/>
      </w:pPr>
      <w:r>
        <w:rPr>
          <w:rFonts w:ascii="宋体" w:hAnsi="宋体" w:eastAsia="宋体" w:cs="宋体"/>
          <w:color w:val="000"/>
          <w:sz w:val="28"/>
          <w:szCs w:val="28"/>
        </w:rPr>
        <w:t xml:space="preserve">“保护幼稚工业”理论在德国工业资本主义的发展进程中曾起到过积极的作用。应该说保护关税政策对于当时的德国资产阶级是必要的，它使德国的大工业获得了巨大的发展，加强了资产阶级的力量，提高了他们在反对封建专制制度中的地位与作用。同时，对经济不发达国家，李斯特的保护贸易理论也具有重要 参考 价值。该理论在对国际分工和自由贸易的利益也予以承认的基础上，提出保护对象应以将来有前途的幼稚工业为限，保护贸易为过渡时期，自由贸易才是最终目标。</w:t>
      </w:r>
    </w:p>
    <w:p>
      <w:pPr>
        <w:ind w:left="0" w:right="0" w:firstLine="560"/>
        <w:spacing w:before="450" w:after="450" w:line="312" w:lineRule="auto"/>
      </w:pPr>
      <w:r>
        <w:rPr>
          <w:rFonts w:ascii="宋体" w:hAnsi="宋体" w:eastAsia="宋体" w:cs="宋体"/>
          <w:color w:val="000"/>
          <w:sz w:val="28"/>
          <w:szCs w:val="28"/>
        </w:rPr>
        <w:t xml:space="preserve">但是，李斯特的整个理论体系是错误的，不 科学 的。他把自己的生产力理论与古典学派的价值论对立起来，片面强调国家对经济发展的决定作用。“保护幼稚工业”理论是以资本市场发育不完全为前提假设。</w:t>
      </w:r>
    </w:p>
    <w:p>
      <w:pPr>
        <w:ind w:left="0" w:right="0" w:firstLine="560"/>
        <w:spacing w:before="450" w:after="450" w:line="312" w:lineRule="auto"/>
      </w:pPr>
      <w:r>
        <w:rPr>
          <w:rFonts w:ascii="宋体" w:hAnsi="宋体" w:eastAsia="宋体" w:cs="宋体"/>
          <w:color w:val="000"/>
          <w:sz w:val="28"/>
          <w:szCs w:val="28"/>
        </w:rPr>
        <w:t xml:space="preserve">3、超保护贸易理论（20世纪30年代）</w:t>
      </w:r>
    </w:p>
    <w:p>
      <w:pPr>
        <w:ind w:left="0" w:right="0" w:firstLine="560"/>
        <w:spacing w:before="450" w:after="450" w:line="312" w:lineRule="auto"/>
      </w:pPr>
      <w:r>
        <w:rPr>
          <w:rFonts w:ascii="宋体" w:hAnsi="宋体" w:eastAsia="宋体" w:cs="宋体"/>
          <w:color w:val="000"/>
          <w:sz w:val="28"/>
          <w:szCs w:val="28"/>
        </w:rPr>
        <w:t xml:space="preserve">超保护贸易主义旨在垄断国内市场的基础上对国内外市场进行进攻性的扩张。它把保护的对象由幼稚工业，扩展到包括国内高度发展或出现衰落的垄断工业。保护的目的也由培养自由竞争能力，转变为巩固和加强对国外市场的垄断。保护的战略由防御转向进攻。凯恩斯主义超保护贸易理论同样有其局限性。理论中提出的对外贸易乘数，在一定程度上反映了对外贸易与国民经济发展之间的内在 规律 性。</w:t>
      </w:r>
    </w:p>
    <w:p>
      <w:pPr>
        <w:ind w:left="0" w:right="0" w:firstLine="560"/>
        <w:spacing w:before="450" w:after="450" w:line="312" w:lineRule="auto"/>
      </w:pPr>
      <w:r>
        <w:rPr>
          <w:rFonts w:ascii="宋体" w:hAnsi="宋体" w:eastAsia="宋体" w:cs="宋体"/>
          <w:color w:val="000"/>
          <w:sz w:val="28"/>
          <w:szCs w:val="28"/>
        </w:rPr>
        <w:t xml:space="preserve">但凯恩斯主义过分夸大了他们的意义，忽略限制新投资，阻止对外贸易顺差的其他重要因素。超保护贸易理论的特点是不择手段的保护垄断资产阶级的利益，保护高度发展的工业，以加强其国外的垄断地位，其代表垄断资本利益的贸易理论。超保护贸易理论不是消极地防御外国商品侵入国内市场，而是加紧侵占国外市场。凯恩斯主义者反危机方案旨在解决国内日益严重的失业和摆脱不断产生的周期性经济危机。虽然在一定程度上，超保护贸易理论对危机起到了缓解作用，但在其原有制度条件下，要想从根本上解决危机和失业问题显然是不现实的。</w:t>
      </w:r>
    </w:p>
    <w:p>
      <w:pPr>
        <w:ind w:left="0" w:right="0" w:firstLine="560"/>
        <w:spacing w:before="450" w:after="450" w:line="312" w:lineRule="auto"/>
      </w:pPr>
      <w:r>
        <w:rPr>
          <w:rFonts w:ascii="宋体" w:hAnsi="宋体" w:eastAsia="宋体" w:cs="宋体"/>
          <w:color w:val="000"/>
          <w:sz w:val="28"/>
          <w:szCs w:val="28"/>
        </w:rPr>
        <w:t xml:space="preserve">4、新贸易保护主义（20世纪80年代以来）</w:t>
      </w:r>
    </w:p>
    <w:p>
      <w:pPr>
        <w:ind w:left="0" w:right="0" w:firstLine="560"/>
        <w:spacing w:before="450" w:after="450" w:line="312" w:lineRule="auto"/>
      </w:pPr>
      <w:r>
        <w:rPr>
          <w:rFonts w:ascii="宋体" w:hAnsi="宋体" w:eastAsia="宋体" w:cs="宋体"/>
          <w:color w:val="000"/>
          <w:sz w:val="28"/>
          <w:szCs w:val="28"/>
        </w:rPr>
        <w:t xml:space="preserve">20世纪70年代中期以后，世界性通货膨胀曾一度促进了各经济发达国家贸易自由化的发展，但1974年—1975年的世界性经济危机和资本主义国家经历的经济滞胀，使之又趋于停顿。从80年代开始，主要工业国家经济处于低速发展，失业比率较高，对外贸易发展不平衡的低迷状态。与此同时，美国货物贸易逆差急剧上升，成为新贸易保护主义的发源地。汇率的长期失调也影响了国际贸易的正常发展，带来巨大的贸易保护的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2025-01-16T14:06:49+08:00</dcterms:created>
  <dcterms:modified xsi:type="dcterms:W3CDTF">2025-01-16T14:06:49+08:00</dcterms:modified>
</cp:coreProperties>
</file>

<file path=docProps/custom.xml><?xml version="1.0" encoding="utf-8"?>
<Properties xmlns="http://schemas.openxmlformats.org/officeDocument/2006/custom-properties" xmlns:vt="http://schemas.openxmlformats.org/officeDocument/2006/docPropsVTypes"/>
</file>